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widowControl/>
        <w:jc w:val="left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left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left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left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left"/>
        <w:rPr>
          <w:rFonts w:ascii="黑体" w:hAnsi="宋体" w:eastAsia="黑体" w:cs="宋体"/>
          <w:kern w:val="0"/>
          <w:sz w:val="28"/>
          <w:szCs w:val="28"/>
        </w:rPr>
      </w:pPr>
    </w:p>
    <w:p>
      <w:pPr>
        <w:jc w:val="center"/>
        <w:rPr>
          <w:rFonts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焦作市山阳区人民法院汇总</w:t>
      </w:r>
    </w:p>
    <w:p>
      <w:pPr>
        <w:jc w:val="center"/>
        <w:rPr>
          <w:rFonts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2018年度部门预算</w:t>
      </w:r>
    </w:p>
    <w:p>
      <w:pPr>
        <w:jc w:val="center"/>
        <w:rPr>
          <w:rFonts w:ascii="黑体" w:hAnsi="黑体" w:eastAsia="黑体" w:cs="黑体"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sz w:val="52"/>
          <w:szCs w:val="52"/>
        </w:rPr>
      </w:pPr>
    </w:p>
    <w:p>
      <w:pPr>
        <w:adjustRightInd w:val="0"/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360" w:lineRule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101" w:right="3569" w:firstLine="624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-142" w:right="51" w:firstLine="30" w:firstLineChars="7"/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目</w:t>
      </w:r>
      <w:r>
        <w:rPr>
          <w:rFonts w:hint="eastAsia" w:ascii="仿宋_GB2312" w:hAnsi="仿宋_GB2312" w:eastAsia="仿宋_GB2312" w:cs="仿宋_GB2312"/>
          <w:spacing w:val="2"/>
          <w:sz w:val="44"/>
          <w:szCs w:val="44"/>
        </w:rPr>
        <w:t xml:space="preserve"> </w:t>
      </w:r>
      <w:r>
        <w:rPr>
          <w:rFonts w:hint="eastAsia" w:ascii="仿宋_GB2312" w:hAnsi="仿宋_GB2312" w:eastAsia="仿宋_GB2312" w:cs="仿宋_GB2312"/>
          <w:sz w:val="44"/>
          <w:szCs w:val="44"/>
        </w:rPr>
        <w:t>录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624" w:firstLineChars="200"/>
        <w:rPr>
          <w:rFonts w:ascii="仿宋_GB2312" w:hAnsi="仿宋_GB2312" w:eastAsia="仿宋_GB2312" w:cs="仿宋_GB2312"/>
          <w:w w:val="99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第一部分  概况</w:t>
      </w:r>
      <w:r>
        <w:rPr>
          <w:rFonts w:hint="eastAsia" w:ascii="仿宋_GB2312" w:hAnsi="仿宋_GB2312" w:eastAsia="仿宋_GB2312" w:cs="仿宋_GB2312"/>
          <w:w w:val="99"/>
          <w:sz w:val="32"/>
          <w:szCs w:val="32"/>
        </w:rPr>
        <w:t xml:space="preserve"> 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一、主要职能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二、部门预算单位构成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24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第二部门 2018年部门预算情况说明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24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第三部分 名词解释</w:t>
      </w:r>
    </w:p>
    <w:p>
      <w:pPr>
        <w:kinsoku w:val="0"/>
        <w:overflowPunct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pacing w:val="-3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2018</w:t>
      </w:r>
      <w:r>
        <w:rPr>
          <w:rFonts w:hint="eastAsia" w:ascii="仿宋_GB2312" w:hAnsi="仿宋_GB2312" w:eastAsia="仿宋_GB2312" w:cs="仿宋_GB2312"/>
          <w:spacing w:val="-11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一、部门收支总体情况表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二、部门收入总体情况表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三、部门支出总体情况表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四、财政拨款收支总体情况表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五、一般公共预算支出情况表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六、一般公共预算基本支出情况表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七、一般公共预算“三公”经费支出情况表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八、政府性基金预算支出情况表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九、国有资本经营预算收支情况表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十、机关运行经费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十一、预算项目支出绩效目标表</w:t>
      </w:r>
    </w:p>
    <w:p>
      <w:pPr>
        <w:adjustRightInd w:val="0"/>
        <w:snapToGrid w:val="0"/>
        <w:spacing w:line="360" w:lineRule="auto"/>
        <w:ind w:firstLine="3744" w:firstLineChars="1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3744" w:firstLineChars="1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第一部分</w:t>
      </w:r>
    </w:p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概况</w:t>
      </w:r>
    </w:p>
    <w:p>
      <w:pPr>
        <w:adjustRightInd w:val="0"/>
        <w:snapToGrid w:val="0"/>
        <w:spacing w:line="360" w:lineRule="auto"/>
        <w:ind w:firstLine="624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24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主要职能</w:t>
      </w:r>
    </w:p>
    <w:p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360" w:lineRule="auto"/>
        <w:ind w:right="3569" w:firstLine="624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机构设置情况</w:t>
      </w:r>
    </w:p>
    <w:p>
      <w:pPr>
        <w:adjustRightInd w:val="0"/>
        <w:snapToGrid w:val="0"/>
        <w:spacing w:line="360" w:lineRule="auto"/>
        <w:ind w:firstLine="780" w:firstLineChars="250"/>
        <w:outlineLvl w:val="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单位内设16个庭（处、室、队）和一个二级机构，分别是办公室、政治处、刑事审判庭、民事审判第一庭、民事审判第二庭、行政审判庭、立案庭、审判监督庭、执行局、司法警察大队、监察室、司法鉴定技术室、高新法庭、审判管理办公室、人大代表政协委员联络办公室、信访办公室；二级机构为山阳区人民法院机关后勤服务中心。</w:t>
      </w:r>
    </w:p>
    <w:p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360" w:lineRule="auto"/>
        <w:ind w:right="3569" w:firstLine="624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部门职责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360" w:lineRule="auto"/>
        <w:ind w:firstLineChars="0"/>
        <w:outlineLvl w:val="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审判法律规定由山阳区人民法院管辖的刑事、民事、行政等第一审案件。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360" w:lineRule="auto"/>
        <w:ind w:firstLineChars="0"/>
        <w:outlineLvl w:val="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审判由上级法院指定审理的案件。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360" w:lineRule="auto"/>
        <w:ind w:firstLineChars="0"/>
        <w:outlineLvl w:val="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受理不服本院判决、裁定的各类申诉和申请再审案件，对其中确有错误的已发生法律效力的判决、裁定进行再审。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360" w:lineRule="auto"/>
        <w:ind w:firstLineChars="0"/>
        <w:outlineLvl w:val="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审判按照审判监督程序提起的抗诉案件。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360" w:lineRule="auto"/>
        <w:ind w:firstLineChars="0"/>
        <w:outlineLvl w:val="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依法行使司法执行权和司法决定权。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360" w:lineRule="auto"/>
        <w:ind w:firstLineChars="0"/>
        <w:outlineLvl w:val="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对法律、法规、规定等草案提出意见；针对案件审理发现的问题提出司法解释。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360" w:lineRule="auto"/>
        <w:ind w:firstLineChars="0"/>
        <w:outlineLvl w:val="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办理其他人民法院委托的司法协助事宜。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360" w:lineRule="auto"/>
        <w:ind w:firstLineChars="0"/>
        <w:outlineLvl w:val="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按照权限管理法官、执行员、书记员、司法警察及司法行政人员。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360" w:lineRule="auto"/>
        <w:ind w:firstLineChars="0"/>
        <w:outlineLvl w:val="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管理本院经费和物质装备。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360" w:lineRule="auto"/>
        <w:ind w:firstLineChars="0"/>
        <w:outlineLvl w:val="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在业务工作中宣传法制，教育公民忠于社会主义祖国，自觉遵守宪法、法律和社会公德。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360" w:lineRule="auto"/>
        <w:ind w:firstLineChars="0"/>
        <w:outlineLvl w:val="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结合审判工作，积极参与社会治安综合治理。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360" w:lineRule="auto"/>
        <w:ind w:firstLineChars="0"/>
        <w:outlineLvl w:val="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承办其它应由山阳区人民法院负责的工作。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360" w:lineRule="auto"/>
        <w:ind w:firstLineChars="0"/>
        <w:outlineLvl w:val="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机关后勤服务中心为机关办公与职工生活提供后期服务，承办机关委托事项</w:t>
      </w:r>
    </w:p>
    <w:p>
      <w:pPr>
        <w:numPr>
          <w:ilvl w:val="0"/>
          <w:numId w:val="1"/>
        </w:numPr>
        <w:kinsoku w:val="0"/>
        <w:overflowPunct w:val="0"/>
        <w:adjustRightInd w:val="0"/>
        <w:snapToGrid w:val="0"/>
        <w:spacing w:line="360" w:lineRule="auto"/>
        <w:ind w:right="3569" w:firstLine="624" w:firstLineChars="200"/>
        <w:jc w:val="left"/>
        <w:outlineLvl w:val="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预算单位构成</w:t>
      </w:r>
    </w:p>
    <w:p>
      <w:pPr>
        <w:adjustRightInd w:val="0"/>
        <w:snapToGrid w:val="0"/>
        <w:spacing w:line="360" w:lineRule="auto"/>
        <w:ind w:left="404" w:leftChars="200" w:firstLine="780" w:firstLineChars="250"/>
        <w:outlineLvl w:val="0"/>
        <w:rPr>
          <w:rFonts w:ascii="仿宋_GB2312" w:hAnsi="宋体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1、山阳区人民法院（本级）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2、山阳区人民法院机关后勤服务中心。</w:t>
      </w:r>
    </w:p>
    <w:p>
      <w:pPr>
        <w:widowControl/>
        <w:shd w:val="clear" w:color="auto" w:fill="FFFFFF"/>
        <w:spacing w:line="450" w:lineRule="atLeast"/>
        <w:ind w:firstLine="3438" w:firstLineChars="1102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第二部分</w:t>
      </w:r>
    </w:p>
    <w:p>
      <w:pPr>
        <w:widowControl/>
        <w:shd w:val="clear" w:color="auto" w:fill="FFFFFF"/>
        <w:spacing w:line="450" w:lineRule="atLeas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2018年度部门预算情况说明</w:t>
      </w:r>
    </w:p>
    <w:p>
      <w:pPr>
        <w:adjustRightInd w:val="0"/>
        <w:snapToGrid w:val="0"/>
        <w:spacing w:line="360" w:lineRule="auto"/>
        <w:ind w:firstLine="624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24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一、收入支出预算总体情况说明</w:t>
      </w:r>
    </w:p>
    <w:p>
      <w:pPr>
        <w:adjustRightInd w:val="0"/>
        <w:snapToGrid w:val="0"/>
        <w:spacing w:line="360" w:lineRule="auto"/>
        <w:ind w:firstLine="624" w:firstLineChars="200"/>
        <w:rPr>
          <w:rFonts w:ascii="Arial" w:hAnsi="Arial" w:eastAsia="仿宋_GB2312" w:cs="Arial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2018年收入</w:t>
      </w:r>
      <w:r>
        <w:rPr>
          <w:rFonts w:hint="eastAsia" w:ascii="Arial" w:hAnsi="Arial" w:eastAsia="仿宋_GB2312" w:cs="Arial"/>
          <w:sz w:val="32"/>
          <w:szCs w:val="32"/>
        </w:rPr>
        <w:t>2671.59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万元，支出总计</w:t>
      </w:r>
      <w:r>
        <w:rPr>
          <w:rFonts w:hint="eastAsia" w:ascii="Arial" w:hAnsi="Arial" w:eastAsia="仿宋_GB2312" w:cs="Arial"/>
          <w:sz w:val="32"/>
          <w:szCs w:val="32"/>
        </w:rPr>
        <w:t>2671.59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万元，与2017年相比，收、支总计各增加</w:t>
      </w:r>
      <w:r>
        <w:rPr>
          <w:rFonts w:hint="eastAsia" w:ascii="仿宋" w:hAnsi="仿宋" w:eastAsia="仿宋" w:cs="Arial"/>
          <w:sz w:val="32"/>
          <w:szCs w:val="32"/>
        </w:rPr>
        <w:t>902.01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Arial" w:hAnsi="Arial" w:eastAsia="仿宋_GB2312" w:cs="Arial"/>
          <w:sz w:val="32"/>
          <w:szCs w:val="32"/>
        </w:rPr>
        <w:t>50.97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%。主要原因：</w:t>
      </w:r>
      <w:r>
        <w:rPr>
          <w:rFonts w:hint="eastAsia" w:ascii="仿宋" w:hAnsi="仿宋" w:eastAsia="仿宋" w:cs="Arial"/>
          <w:sz w:val="32"/>
          <w:szCs w:val="32"/>
        </w:rPr>
        <w:t>非税收入增加</w:t>
      </w:r>
      <w:r>
        <w:rPr>
          <w:rFonts w:hint="eastAsia" w:ascii="Arial" w:hAnsi="Arial" w:eastAsia="仿宋_GB2312" w:cs="Arial"/>
          <w:sz w:val="32"/>
          <w:szCs w:val="32"/>
        </w:rPr>
        <w:t xml:space="preserve">。  </w:t>
      </w:r>
    </w:p>
    <w:p>
      <w:pPr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二、收入预算总体情况说明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2018年收入合计</w:t>
      </w:r>
      <w:r>
        <w:rPr>
          <w:rFonts w:hint="eastAsia" w:ascii="Arial" w:hAnsi="Arial" w:eastAsia="仿宋_GB2312" w:cs="Arial"/>
          <w:sz w:val="32"/>
          <w:szCs w:val="32"/>
        </w:rPr>
        <w:t>2671.59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万元，其中：一般公共预算收入</w:t>
      </w:r>
      <w:r>
        <w:rPr>
          <w:rFonts w:hint="eastAsia" w:ascii="Arial" w:hAnsi="Arial" w:eastAsia="仿宋_GB2312" w:cs="Arial"/>
          <w:sz w:val="32"/>
          <w:szCs w:val="32"/>
        </w:rPr>
        <w:t>2590.59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万元; 政府性基金预算收入</w:t>
      </w:r>
      <w:r>
        <w:rPr>
          <w:rFonts w:hint="eastAsia" w:ascii="Arial" w:hAnsi="Arial" w:eastAsia="仿宋_GB2312" w:cs="Arial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万元；国有资本经营预算收入</w:t>
      </w:r>
      <w:r>
        <w:rPr>
          <w:rFonts w:hint="eastAsia" w:ascii="Arial" w:hAnsi="Arial" w:eastAsia="仿宋_GB2312" w:cs="Arial"/>
          <w:sz w:val="32"/>
          <w:szCs w:val="32"/>
        </w:rPr>
        <w:t>0万元；其他收入0万元。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 xml:space="preserve"> </w:t>
      </w:r>
    </w:p>
    <w:p>
      <w:pPr>
        <w:spacing w:line="560" w:lineRule="exact"/>
        <w:ind w:firstLine="624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三、支出预算总体情况说明</w:t>
      </w:r>
    </w:p>
    <w:p>
      <w:pPr>
        <w:spacing w:line="560" w:lineRule="exact"/>
        <w:ind w:firstLine="624" w:firstLineChars="200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2018年支出合计</w:t>
      </w:r>
      <w:r>
        <w:rPr>
          <w:rFonts w:hint="eastAsia" w:ascii="Arial" w:hAnsi="Arial" w:eastAsia="仿宋_GB2312" w:cs="Arial"/>
          <w:sz w:val="32"/>
          <w:szCs w:val="32"/>
        </w:rPr>
        <w:t>2671.59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基本支出834.21万元，占</w:t>
      </w:r>
      <w:r>
        <w:rPr>
          <w:rFonts w:hint="eastAsia" w:ascii="Arial" w:hAnsi="Arial" w:eastAsia="仿宋_GB2312" w:cs="Arial"/>
          <w:color w:val="auto"/>
          <w:sz w:val="32"/>
          <w:szCs w:val="32"/>
          <w:shd w:val="clear" w:color="auto" w:fill="auto"/>
        </w:rPr>
        <w:t>31.23%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；项目支出</w:t>
      </w:r>
      <w:r>
        <w:rPr>
          <w:rFonts w:hint="eastAsia" w:ascii="Arial" w:hAnsi="Arial" w:eastAsia="仿宋_GB2312" w:cs="Arial"/>
          <w:color w:val="auto"/>
          <w:sz w:val="32"/>
          <w:szCs w:val="32"/>
          <w:shd w:val="clear" w:color="auto" w:fill="auto"/>
        </w:rPr>
        <w:t>1837.38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万元，占</w:t>
      </w:r>
      <w:r>
        <w:rPr>
          <w:rFonts w:hint="eastAsia" w:ascii="Arial" w:hAnsi="Arial" w:eastAsia="仿宋_GB2312" w:cs="Arial"/>
          <w:color w:val="auto"/>
          <w:sz w:val="32"/>
          <w:szCs w:val="32"/>
          <w:shd w:val="clear" w:color="auto" w:fill="auto"/>
        </w:rPr>
        <w:t>68.77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 xml:space="preserve">%。 </w:t>
      </w:r>
    </w:p>
    <w:p>
      <w:pPr>
        <w:spacing w:line="560" w:lineRule="exact"/>
        <w:ind w:firstLine="624" w:firstLineChars="200"/>
        <w:outlineLvl w:val="0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四、财政拨款收入支出预算总体情况说明</w:t>
      </w:r>
    </w:p>
    <w:p>
      <w:pPr>
        <w:spacing w:line="560" w:lineRule="exact"/>
        <w:ind w:firstLine="624" w:firstLineChars="200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2018年一般公共预算收支预算</w:t>
      </w:r>
      <w:r>
        <w:rPr>
          <w:rFonts w:hint="eastAsia" w:ascii="Arial" w:hAnsi="Arial" w:eastAsia="仿宋_GB2312" w:cs="Arial"/>
          <w:color w:val="auto"/>
          <w:sz w:val="32"/>
          <w:szCs w:val="32"/>
          <w:shd w:val="clear" w:color="auto" w:fill="auto"/>
        </w:rPr>
        <w:t>2671.59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万元。政府性基金收支预算</w:t>
      </w:r>
      <w:r>
        <w:rPr>
          <w:rFonts w:hint="eastAsia" w:ascii="Arial" w:hAnsi="Arial" w:eastAsia="仿宋_GB2312" w:cs="Arial"/>
          <w:color w:val="auto"/>
          <w:sz w:val="32"/>
          <w:szCs w:val="32"/>
          <w:shd w:val="clear" w:color="auto" w:fill="auto"/>
        </w:rPr>
        <w:t>0万元，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与 2017年相比，一般公共预算收支预算增加</w:t>
      </w:r>
      <w:r>
        <w:rPr>
          <w:rFonts w:hint="eastAsia" w:ascii="Arial" w:hAnsi="Arial" w:eastAsia="仿宋_GB2312" w:cs="Arial"/>
          <w:color w:val="auto"/>
          <w:sz w:val="32"/>
          <w:szCs w:val="32"/>
          <w:shd w:val="clear" w:color="auto" w:fill="auto"/>
        </w:rPr>
        <w:t>902.01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万元，增长</w:t>
      </w:r>
      <w:r>
        <w:rPr>
          <w:rFonts w:hint="eastAsia" w:ascii="Arial" w:hAnsi="Arial" w:eastAsia="仿宋_GB2312" w:cs="Arial"/>
          <w:color w:val="auto"/>
          <w:sz w:val="32"/>
          <w:szCs w:val="32"/>
          <w:shd w:val="clear" w:color="auto" w:fill="auto"/>
        </w:rPr>
        <w:t>50.97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%，主要原因：</w:t>
      </w:r>
      <w:r>
        <w:rPr>
          <w:rFonts w:hint="eastAsia" w:ascii="Arial" w:hAnsi="Arial" w:eastAsia="仿宋_GB2312" w:cs="Arial"/>
          <w:color w:val="auto"/>
          <w:sz w:val="32"/>
          <w:szCs w:val="32"/>
          <w:shd w:val="clear" w:color="auto" w:fill="auto"/>
        </w:rPr>
        <w:t>非税收入增加；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政府性基金收支增加</w:t>
      </w:r>
      <w:r>
        <w:rPr>
          <w:rFonts w:hint="eastAsia" w:ascii="Arial" w:hAnsi="Arial" w:eastAsia="仿宋_GB2312" w:cs="Arial"/>
          <w:color w:val="auto"/>
          <w:sz w:val="32"/>
          <w:szCs w:val="32"/>
          <w:shd w:val="clear" w:color="auto" w:fill="auto"/>
        </w:rPr>
        <w:t>0万元，增长0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%</w:t>
      </w:r>
      <w:r>
        <w:rPr>
          <w:rFonts w:hint="eastAsia" w:ascii="Arial" w:hAnsi="Arial" w:eastAsia="仿宋_GB2312" w:cs="Arial"/>
          <w:color w:val="auto"/>
          <w:sz w:val="32"/>
          <w:szCs w:val="32"/>
          <w:shd w:val="clear" w:color="auto" w:fill="auto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主要原因：</w:t>
      </w:r>
      <w:r>
        <w:rPr>
          <w:rFonts w:hint="eastAsia" w:ascii="Arial" w:hAnsi="Arial" w:eastAsia="仿宋_GB2312" w:cs="Arial"/>
          <w:color w:val="auto"/>
          <w:sz w:val="32"/>
          <w:szCs w:val="32"/>
          <w:shd w:val="clear" w:color="auto" w:fill="auto"/>
        </w:rPr>
        <w:t>我单位2018年没有使用政府性基金预算拨款安排的支出。</w:t>
      </w:r>
    </w:p>
    <w:p>
      <w:pPr>
        <w:spacing w:line="560" w:lineRule="exact"/>
        <w:ind w:firstLine="624" w:firstLineChars="200"/>
        <w:outlineLvl w:val="0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五、一般公共预算支出预算情况说明</w:t>
      </w:r>
    </w:p>
    <w:p>
      <w:pPr>
        <w:widowControl/>
        <w:spacing w:line="620" w:lineRule="exact"/>
        <w:ind w:firstLine="624" w:firstLineChars="200"/>
        <w:jc w:val="lef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2018年一般公共预算支出年初预算为</w:t>
      </w:r>
      <w:r>
        <w:rPr>
          <w:rFonts w:hint="eastAsia" w:ascii="Arial" w:hAnsi="Arial" w:eastAsia="仿宋_GB2312" w:cs="Arial"/>
          <w:color w:val="auto"/>
          <w:sz w:val="32"/>
          <w:szCs w:val="32"/>
          <w:shd w:val="clear" w:color="auto" w:fill="auto"/>
          <w:lang w:val="en-US" w:eastAsia="zh-CN"/>
        </w:rPr>
        <w:t>2590.59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万元。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主要用于以下方面：</w:t>
      </w:r>
      <w:r>
        <w:rPr>
          <w:rFonts w:hint="eastAsia" w:ascii="仿宋" w:hAnsi="仿宋" w:eastAsia="仿宋" w:cs="仿宋_GB2312"/>
          <w:color w:val="auto"/>
          <w:kern w:val="0"/>
          <w:sz w:val="32"/>
          <w:szCs w:val="32"/>
          <w:shd w:val="clear" w:color="auto" w:fill="auto"/>
        </w:rPr>
        <w:t>公共安全支出</w:t>
      </w:r>
      <w:r>
        <w:rPr>
          <w:rFonts w:hint="eastAsia" w:ascii="仿宋" w:hAnsi="仿宋" w:eastAsia="仿宋" w:cs="Arial"/>
          <w:color w:val="auto"/>
          <w:sz w:val="32"/>
          <w:szCs w:val="32"/>
          <w:shd w:val="clear" w:color="auto" w:fill="auto"/>
          <w:lang w:val="en-US" w:eastAsia="zh-CN"/>
        </w:rPr>
        <w:t>2372.6</w:t>
      </w:r>
      <w:r>
        <w:rPr>
          <w:rFonts w:hint="eastAsia" w:ascii="仿宋" w:hAnsi="仿宋" w:eastAsia="仿宋" w:cs="仿宋_GB2312"/>
          <w:color w:val="auto"/>
          <w:kern w:val="0"/>
          <w:sz w:val="32"/>
          <w:szCs w:val="32"/>
          <w:shd w:val="clear" w:color="auto" w:fill="auto"/>
        </w:rPr>
        <w:t>万元，占91.84%；社会保障和就业支出122.12万元；占4.6 %；医疗卫生与计划生育支出35.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32万元，占1.32 %；住房保障支出60.55万元，占 2.27%</w:t>
      </w:r>
    </w:p>
    <w:p>
      <w:pPr>
        <w:widowControl/>
        <w:ind w:firstLine="622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六、一般公共预算基本支出预算情况说明</w:t>
      </w:r>
    </w:p>
    <w:p>
      <w:pPr>
        <w:widowControl/>
        <w:spacing w:line="620" w:lineRule="exact"/>
        <w:ind w:firstLine="624" w:firstLineChars="200"/>
        <w:jc w:val="left"/>
        <w:rPr>
          <w:rFonts w:ascii="仿宋" w:hAnsi="仿宋" w:eastAsia="仿宋" w:cs="仿宋_GB2312"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2018年一般公共预算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基本支出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834.21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万元，其中：</w:t>
      </w:r>
      <w:r>
        <w:rPr>
          <w:rFonts w:hint="eastAsia" w:ascii="仿宋_GB2312" w:hAnsi="仿宋_GB2312" w:eastAsia="仿宋_GB2312" w:cs="仿宋_GB2312"/>
          <w:b/>
          <w:spacing w:val="-1"/>
          <w:kern w:val="0"/>
          <w:sz w:val="32"/>
          <w:szCs w:val="32"/>
          <w:shd w:val="clear" w:color="auto" w:fill="auto"/>
        </w:rPr>
        <w:t>人员经费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shd w:val="clear" w:color="auto" w:fill="auto"/>
        </w:rPr>
        <w:t>787.63</w:t>
      </w: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auto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auto"/>
        </w:rPr>
        <w:t>基本工资、津贴补贴、奖金、绩效工资、机关事业单位基本养老保险缴费、职业年金缴费、医疗保险缴费</w:t>
      </w:r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、其他社会保障缴费、住房公积金、其他工资福利支出、离休费、退休费、其他对个人和家庭的补助支出；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公用经费46.58万元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主要包括：通讯费、公务交通补贴、工会经费。</w:t>
      </w:r>
    </w:p>
    <w:p>
      <w:pPr>
        <w:widowControl/>
        <w:ind w:firstLine="622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七、政府性基金预算支出预算情况说明</w:t>
      </w:r>
    </w:p>
    <w:p>
      <w:pPr>
        <w:spacing w:line="560" w:lineRule="exact"/>
        <w:ind w:firstLine="624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我单位2018年没有使用政府性基金预算拨款安排的支出。</w:t>
      </w:r>
    </w:p>
    <w:p>
      <w:pPr>
        <w:spacing w:line="560" w:lineRule="exact"/>
        <w:ind w:firstLine="624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国有资本经营预算支出预算情况说明</w:t>
      </w:r>
    </w:p>
    <w:p>
      <w:pPr>
        <w:spacing w:line="560" w:lineRule="exact"/>
        <w:ind w:firstLine="624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2018年国有资金经营预算支出0万元</w:t>
      </w:r>
      <w:r>
        <w:rPr>
          <w:rFonts w:hint="eastAsia" w:ascii="仿宋_GB2312" w:hAnsi="仿宋_GB2312" w:eastAsia="仿宋_GB2312" w:cs="仿宋_GB2312"/>
          <w:b/>
          <w:color w:val="FF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我单位2018年没有使用政国有资本经营预算拨款安排的支出。</w:t>
      </w:r>
    </w:p>
    <w:p>
      <w:pPr>
        <w:spacing w:line="560" w:lineRule="exact"/>
        <w:ind w:firstLine="624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九、“三公”经费支出预算情况说明</w:t>
      </w:r>
    </w:p>
    <w:p>
      <w:pPr>
        <w:widowControl/>
        <w:ind w:firstLine="624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 年“三公”经费预算为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53.1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 比 2017年预算数增加11.6万元，增长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28%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具体支出情况如下：</w:t>
      </w:r>
    </w:p>
    <w:p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-1"/>
          <w:kern w:val="0"/>
          <w:sz w:val="32"/>
          <w:szCs w:val="32"/>
        </w:rPr>
        <w:t>因公出国（境）费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万元。主要用于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单位工作人员公务出国（境）的住宿费、差旅费、伙食补助费、杂费、培训费等支出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。预算数比2017年减少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0%，主要原因：我单位无因公出国（境）费预算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-1"/>
          <w:kern w:val="0"/>
          <w:sz w:val="32"/>
          <w:szCs w:val="32"/>
        </w:rPr>
        <w:t>公务用车购置及运行费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50.2万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元。其中公务车辆购置费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万元，主要用于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公务车辆购置</w:t>
      </w:r>
      <w:r>
        <w:rPr>
          <w:rFonts w:hint="eastAsia" w:ascii="仿宋_GB2312" w:hAnsi="仿宋_GB2312" w:eastAsia="仿宋_GB2312" w:cs="仿宋_GB2312"/>
          <w:sz w:val="32"/>
          <w:szCs w:val="32"/>
        </w:rPr>
        <w:t>,比2017年增减18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万元，较上年增长100%，主要原因：执法执勤车辆更新；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公务用车运行维护费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32.2万元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，主要用于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燃料费、维修费、过路过桥费、保险费等支出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,比2017年减少6.3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万元，较上年下降16.36%，主要原因：控制车辆运行成本。</w:t>
      </w:r>
    </w:p>
    <w:p>
      <w:pPr>
        <w:spacing w:line="560" w:lineRule="exact"/>
        <w:ind w:firstLine="62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-1"/>
          <w:kern w:val="0"/>
          <w:sz w:val="32"/>
          <w:szCs w:val="32"/>
        </w:rPr>
        <w:t>（三）公务接待费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万元，主要用于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单位按规定开支的各类公务接待支出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，比2017年预算数减少0.1万元，下降3.3%，主要原因控制支出。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kern w:val="0"/>
          <w:sz w:val="32"/>
          <w:szCs w:val="32"/>
        </w:rPr>
        <w:t>十、其他重要事项的情况说明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（一）机关运行经费支出情况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2018年机关运行经费支出预算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46.58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万元，主要保障机关机构正常运转及正常履职需要的办公费、水电费、差旅费、工会经费、福利费、其他交通费等支出，比2017年增加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6.6万元，增长16.51%，主要原因：办公经费增长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outlineLvl w:val="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（二）政府采购支出情况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2018年政府采购预算安排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247.2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政府采购货物预算209万元、政府采购工程预算25万元、政府采购服务预算13.2万元。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outlineLvl w:val="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（三）关于预算绩效管理工作开展情况说明</w:t>
      </w:r>
    </w:p>
    <w:p>
      <w:pPr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2017年,我部门对0个项目进行了预算绩效评价，涉及资金0万元。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2018年，我部门纳入预算绩效管理的支出总额为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万元，其中人员经费支出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万元，公用经费支出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万元，支出项目共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个，支出总额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万元，其中预算支出100万元及100万元以上项目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个，支出总额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万元。 </w:t>
      </w:r>
    </w:p>
    <w:p>
      <w:pPr>
        <w:ind w:left="404" w:left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（四）国有资产占用情况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宋体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2017年期末，固定资产总额856.21万元，其中，房屋建筑物575.67万元，车辆232.46万元。共有车辆15辆，其中：一般公务用车0辆，执法执勤车15辆；</w:t>
      </w:r>
      <w:r>
        <w:rPr>
          <w:rFonts w:hint="eastAsia" w:ascii="仿宋_GB2312" w:hAnsi="仿宋_GB2312" w:eastAsia="仿宋_GB2312" w:cs="仿宋_GB2312"/>
          <w:sz w:val="32"/>
          <w:szCs w:val="32"/>
        </w:rPr>
        <w:t>单价50万元以上通用设备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台，单位价值100万元以上专用设备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</w:t>
      </w:r>
      <w:r>
        <w:rPr>
          <w:rFonts w:hint="eastAsia" w:ascii="仿宋_GB2312" w:hAnsi="宋体" w:eastAsia="仿宋_GB2312" w:cs="仿宋_GB2312"/>
          <w:sz w:val="32"/>
          <w:szCs w:val="32"/>
        </w:rPr>
        <w:t>。</w:t>
      </w:r>
    </w:p>
    <w:p>
      <w:pPr>
        <w:widowControl/>
        <w:ind w:firstLine="624" w:firstLineChars="200"/>
        <w:jc w:val="left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（五）关于预算部门构成说明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2018年我单位按照区财政预算公开要求，将所属预算单位全部纳入预算公开范围。</w:t>
      </w:r>
    </w:p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第三部分 名词解释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一、财政拨款收入：是指区级财政当年拨付的资金。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二、事业收入：是指事业单位开展专业活动及辅助活动所取 得的收入。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四、基本支出：是指为保障机构正常运转、完成日常工作任务所必需的开支，其内容包括人员经费和日常公用经费两部分。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五、项目支出：是指在基本支出之外，为完成特定的行政工作任务或事业发展目标所发生的支出。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“三公”经费：是指纳入区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七、机关运行经费：是指为保障行政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机构正常运转及正常履职需要的办公费、水电费、日常维修、物业费、维修费、差旅费、</w:t>
      </w:r>
      <w:r>
        <w:rPr>
          <w:rFonts w:hint="eastAsia" w:ascii="仿宋_GB2312" w:hAnsi="宋体" w:eastAsia="仿宋_GB2312" w:cs="Courier New"/>
          <w:sz w:val="32"/>
          <w:szCs w:val="32"/>
        </w:rPr>
        <w:t>公务用车运行维护费以及其他费用</w:t>
      </w:r>
      <w:r>
        <w:rPr>
          <w:rFonts w:hint="eastAsia" w:ascii="仿宋_GB2312" w:hAnsi="仿宋_GB2312" w:eastAsia="仿宋_GB2312" w:cs="仿宋_GB2312"/>
          <w:sz w:val="32"/>
          <w:szCs w:val="32"/>
        </w:rPr>
        <w:t>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八、公共安全支出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是指</w:t>
      </w:r>
      <w:r>
        <w:rPr>
          <w:rFonts w:hint="eastAsia" w:ascii="仿宋_GB2312" w:hAnsi="仿宋_GB2312" w:eastAsia="仿宋_GB2312" w:cs="仿宋_GB2312"/>
          <w:sz w:val="32"/>
          <w:szCs w:val="32"/>
        </w:rPr>
        <w:t>反映法院维护社会公共安全方面的支出；后勤服务是指为法院机关办公和职工生活提供后勤服务。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附件：焦作市山阳区人民法院汇总部门2018年度部门预算表</w:t>
      </w:r>
    </w:p>
    <w:p>
      <w:pPr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2018年10月17日</w:t>
      </w:r>
    </w:p>
    <w:sectPr>
      <w:pgSz w:w="11906" w:h="16838"/>
      <w:pgMar w:top="2154" w:right="1474" w:bottom="1757" w:left="1587" w:header="851" w:footer="992" w:gutter="0"/>
      <w:cols w:space="0" w:num="1"/>
      <w:docGrid w:type="linesAndChars" w:linePitch="312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1F6C22"/>
    <w:multiLevelType w:val="singleLevel"/>
    <w:tmpl w:val="871F6C2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31C302C"/>
    <w:multiLevelType w:val="multilevel"/>
    <w:tmpl w:val="531C302C"/>
    <w:lvl w:ilvl="0" w:tentative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5A4F2DAA"/>
    <w:multiLevelType w:val="singleLevel"/>
    <w:tmpl w:val="5A4F2DAA"/>
    <w:lvl w:ilvl="0" w:tentative="0">
      <w:start w:val="1"/>
      <w:numFmt w:val="chineseCounting"/>
      <w:suff w:val="nothing"/>
      <w:lvlText w:val="（%1）"/>
      <w:lvlJc w:val="left"/>
    </w:lvl>
  </w:abstractNum>
  <w:abstractNum w:abstractNumId="3">
    <w:nsid w:val="5A796DEC"/>
    <w:multiLevelType w:val="singleLevel"/>
    <w:tmpl w:val="5A796DE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D26A9"/>
    <w:rsid w:val="001A08E8"/>
    <w:rsid w:val="001E2E98"/>
    <w:rsid w:val="00276C57"/>
    <w:rsid w:val="002D565A"/>
    <w:rsid w:val="0049342B"/>
    <w:rsid w:val="0078345C"/>
    <w:rsid w:val="009D4B54"/>
    <w:rsid w:val="00AC3B9F"/>
    <w:rsid w:val="00B32567"/>
    <w:rsid w:val="00BE1F8D"/>
    <w:rsid w:val="00C25204"/>
    <w:rsid w:val="00E70DBC"/>
    <w:rsid w:val="00F141A5"/>
    <w:rsid w:val="00F71D32"/>
    <w:rsid w:val="00FF536B"/>
    <w:rsid w:val="01353D7A"/>
    <w:rsid w:val="028F57A4"/>
    <w:rsid w:val="02FA3C93"/>
    <w:rsid w:val="03684F09"/>
    <w:rsid w:val="07B27637"/>
    <w:rsid w:val="0866510A"/>
    <w:rsid w:val="0BFC12C2"/>
    <w:rsid w:val="0F61707D"/>
    <w:rsid w:val="113103BE"/>
    <w:rsid w:val="1272042A"/>
    <w:rsid w:val="137530E7"/>
    <w:rsid w:val="14E074A9"/>
    <w:rsid w:val="170A3FC4"/>
    <w:rsid w:val="17591265"/>
    <w:rsid w:val="18CC319A"/>
    <w:rsid w:val="1A051862"/>
    <w:rsid w:val="1ED71EC9"/>
    <w:rsid w:val="20770ABE"/>
    <w:rsid w:val="20DD26A9"/>
    <w:rsid w:val="262C0377"/>
    <w:rsid w:val="2D97621C"/>
    <w:rsid w:val="395648C9"/>
    <w:rsid w:val="39841043"/>
    <w:rsid w:val="3F7C19DA"/>
    <w:rsid w:val="40442497"/>
    <w:rsid w:val="4BC00A7C"/>
    <w:rsid w:val="4D662DC1"/>
    <w:rsid w:val="52E0623F"/>
    <w:rsid w:val="537C3CF3"/>
    <w:rsid w:val="5966555F"/>
    <w:rsid w:val="5C682E60"/>
    <w:rsid w:val="5E76438D"/>
    <w:rsid w:val="5FB86371"/>
    <w:rsid w:val="5FC5627C"/>
    <w:rsid w:val="641B3788"/>
    <w:rsid w:val="65C55A1F"/>
    <w:rsid w:val="67545B2D"/>
    <w:rsid w:val="6E35646A"/>
    <w:rsid w:val="6EA86553"/>
    <w:rsid w:val="711E0931"/>
    <w:rsid w:val="778B3D25"/>
    <w:rsid w:val="78093E65"/>
    <w:rsid w:val="7BEB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Calibri" w:hAnsi="Calibr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Calibri" w:hAnsi="Calibri" w:eastAsiaTheme="minorEastAsia" w:cstheme="minorBidi"/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9</Pages>
  <Words>498</Words>
  <Characters>2840</Characters>
  <Lines>23</Lines>
  <Paragraphs>6</Paragraphs>
  <TotalTime>68</TotalTime>
  <ScaleCrop>false</ScaleCrop>
  <LinksUpToDate>false</LinksUpToDate>
  <CharactersWithSpaces>3332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2018-01-04T09:29:00Z</dcterms:created>
  <dc:creator>Administrator</dc:creator>
  <cp:lastModifiedBy>ysk</cp:lastModifiedBy>
  <cp:lastPrinted>2018-11-01T01:55:00Z</cp:lastPrinted>
  <dcterms:modified xsi:type="dcterms:W3CDTF">2019-01-03T02:58:10Z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