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焦作市山阳区人民法院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2019年度部门预算</w:t>
      </w:r>
    </w:p>
    <w:p>
      <w:pPr>
        <w:jc w:val="center"/>
        <w:rPr>
          <w:rFonts w:ascii="楷体" w:hAnsi="楷体" w:eastAsia="楷体" w:cs="楷体"/>
          <w:color w:val="FF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2019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机构设置情况</w:t>
      </w:r>
    </w:p>
    <w:p>
      <w:pPr>
        <w:adjustRightInd w:val="0"/>
        <w:snapToGrid w:val="0"/>
        <w:spacing w:line="360" w:lineRule="auto"/>
        <w:ind w:firstLine="780" w:firstLineChars="250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单位内设16个庭（处、室、队）和一个二级机构，分别是办公室、政治处、刑事审判庭、民事审判第一庭、民事审判第二庭、行政审判庭、立案庭、审判监督庭、执行局、司法警察大队、监察室、司法鉴定技术室、高新法庭、审判管理办公室、人大代表政协委员联络办公室、信访办公室；二级机构为山阳区人民法院机关后勤服务中心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1、审判法律规定由山阳区人民法院管辖的刑事、民事、行政等第一审案件。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2、审判由上级法院指定审理的案件。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3、受理不服本院判决、裁定的各类申诉和申请再审案件，对其中确有错误的已发生法律效力的判决、裁定进行再审。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4、审判按照审判监督程序提起的抗诉案件。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5、依法行使司法执行权和司法决定权。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6、对法律、法规、规定等草案提出意见；针对案件审理发现的问题提出司法解释。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7、办理其他人民法院委托的司法协助事宜。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8、按照权限管理法官、执行员、书记员、司法警察及司法行政人员。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9、管理本院经费和物质装备。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10、在业务工作中宣传法制，教育公民忠于社会主义祖国，自觉遵守宪法、法律和社会公德。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11、结合审判工作，积极参与社会治安综合治理。</w:t>
      </w:r>
    </w:p>
    <w:p>
      <w:pPr>
        <w:pStyle w:val="8"/>
        <w:adjustRightInd w:val="0"/>
        <w:snapToGrid w:val="0"/>
        <w:spacing w:line="360" w:lineRule="auto"/>
        <w:ind w:firstLine="622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12、承办其它应由山阳区人民法院负责的工作。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jc w:val="left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预算单位构成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宋体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我单位下设一个二级预算单位，本预算仅包括本单位预算。</w:t>
      </w:r>
    </w:p>
    <w:p>
      <w:pPr>
        <w:adjustRightInd w:val="0"/>
        <w:snapToGrid w:val="0"/>
        <w:spacing w:line="360" w:lineRule="auto"/>
        <w:ind w:left="404" w:leftChars="200"/>
        <w:outlineLvl w:val="0"/>
        <w:rPr>
          <w:rFonts w:ascii="仿宋_GB2312" w:hAnsi="宋体" w:eastAsia="仿宋_GB2312" w:cs="仿宋_GB2312"/>
          <w:color w:val="FF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2019年度部门预算情况说明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2019年收入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万元，与2018年相比，收、支总计各减少</w:t>
      </w:r>
      <w:r>
        <w:rPr>
          <w:rFonts w:hint="eastAsia" w:ascii="仿宋" w:hAnsi="仿宋" w:eastAsia="仿宋" w:cs="Arial"/>
          <w:sz w:val="32"/>
          <w:szCs w:val="32"/>
        </w:rPr>
        <w:t>8.2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" w:hAnsi="仿宋" w:eastAsia="仿宋" w:cs="Arial"/>
          <w:sz w:val="32"/>
          <w:szCs w:val="32"/>
        </w:rPr>
        <w:t>0.33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%。主要原因：财政拨款</w:t>
      </w:r>
      <w:r>
        <w:rPr>
          <w:rFonts w:hint="eastAsia" w:ascii="仿宋" w:hAnsi="仿宋" w:eastAsia="仿宋" w:cs="Arial"/>
          <w:sz w:val="32"/>
          <w:szCs w:val="32"/>
        </w:rPr>
        <w:t>增加，非税收入略有减少</w:t>
      </w:r>
      <w:r>
        <w:rPr>
          <w:rFonts w:hint="eastAsia" w:ascii="Arial" w:hAnsi="Arial" w:eastAsia="仿宋_GB2312" w:cs="Arial"/>
          <w:sz w:val="32"/>
          <w:szCs w:val="32"/>
        </w:rPr>
        <w:t xml:space="preserve">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2019年收入合计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2019年支出合计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ascii="仿宋" w:hAnsi="仿宋" w:eastAsia="仿宋" w:cs="Arial"/>
          <w:sz w:val="32"/>
          <w:szCs w:val="32"/>
        </w:rPr>
        <w:t>685.58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2"/>
          <w:szCs w:val="32"/>
        </w:rPr>
        <w:t>28.08</w:t>
      </w:r>
      <w:r>
        <w:rPr>
          <w:rFonts w:hint="eastAsia" w:ascii="Arial" w:hAnsi="Arial" w:eastAsia="仿宋_GB2312" w:cs="Arial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ascii="仿宋" w:hAnsi="仿宋" w:eastAsia="仿宋" w:cs="Arial"/>
          <w:sz w:val="32"/>
          <w:szCs w:val="32"/>
        </w:rPr>
        <w:t>1755.84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" w:hAnsi="仿宋" w:eastAsia="仿宋" w:cs="Arial"/>
          <w:sz w:val="32"/>
          <w:szCs w:val="32"/>
        </w:rPr>
        <w:t>71.92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2019年一般公共预算收支预算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2018年相比，一般公共预算收支预算增加</w:t>
      </w:r>
      <w:r>
        <w:rPr>
          <w:rFonts w:hint="eastAsia" w:ascii="仿宋" w:hAnsi="仿宋" w:eastAsia="仿宋" w:cs="Arial"/>
          <w:sz w:val="32"/>
          <w:szCs w:val="32"/>
        </w:rPr>
        <w:t>72.8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" w:hAnsi="仿宋" w:eastAsia="仿宋" w:cs="Arial"/>
          <w:sz w:val="32"/>
          <w:szCs w:val="32"/>
        </w:rPr>
        <w:t>8.88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" w:hAnsi="仿宋" w:eastAsia="仿宋" w:cs="Arial"/>
          <w:sz w:val="32"/>
          <w:szCs w:val="32"/>
        </w:rPr>
        <w:t>非税收入增加</w:t>
      </w:r>
      <w:r>
        <w:rPr>
          <w:rFonts w:hint="eastAsia" w:ascii="Arial" w:hAnsi="Arial" w:eastAsia="仿宋_GB2312" w:cs="Arial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政府性基金收支增加</w:t>
      </w:r>
      <w:r>
        <w:rPr>
          <w:rFonts w:hint="eastAsia" w:ascii="Arial" w:hAnsi="Arial" w:eastAsia="仿宋_GB2312" w:cs="Arial"/>
          <w:sz w:val="32"/>
          <w:szCs w:val="32"/>
        </w:rPr>
        <w:t>0万元，增长0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</w:t>
      </w:r>
      <w:r>
        <w:rPr>
          <w:rFonts w:hint="eastAsia" w:ascii="Arial" w:hAnsi="Arial" w:eastAsia="仿宋_GB2312" w:cs="Arial"/>
          <w:sz w:val="32"/>
          <w:szCs w:val="32"/>
        </w:rPr>
        <w:t>我单位无政府性基金预算。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spacing w:line="620" w:lineRule="exact"/>
        <w:ind w:firstLine="624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2019年一般公共预算支出年初预算为</w:t>
      </w:r>
      <w:r>
        <w:rPr>
          <w:rFonts w:hint="eastAsia" w:ascii="仿宋" w:hAnsi="仿宋" w:eastAsia="仿宋" w:cs="Arial"/>
          <w:sz w:val="32"/>
          <w:szCs w:val="32"/>
        </w:rPr>
        <w:t>2441.42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" w:hAnsi="仿宋" w:eastAsia="仿宋" w:cs="仿宋_GB2312"/>
          <w:sz w:val="32"/>
          <w:szCs w:val="32"/>
        </w:rPr>
        <w:t>主要用于以下方面：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公共安全支出</w:t>
      </w:r>
      <w:r>
        <w:rPr>
          <w:rFonts w:ascii="仿宋" w:hAnsi="仿宋" w:eastAsia="仿宋" w:cs="Arial"/>
          <w:sz w:val="32"/>
          <w:szCs w:val="32"/>
        </w:rPr>
        <w:t>2257.43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万元，占92.46%；社会保障和就业支出</w:t>
      </w:r>
      <w:r>
        <w:rPr>
          <w:rFonts w:ascii="仿宋" w:hAnsi="仿宋" w:eastAsia="仿宋" w:cs="仿宋_GB2312"/>
          <w:kern w:val="0"/>
          <w:sz w:val="32"/>
          <w:szCs w:val="32"/>
        </w:rPr>
        <w:t>106.99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万元；占4.38%；医疗卫生与计划生育支出</w:t>
      </w:r>
      <w:r>
        <w:rPr>
          <w:rFonts w:ascii="仿宋" w:hAnsi="仿宋" w:eastAsia="仿宋" w:cs="仿宋_GB2312"/>
          <w:kern w:val="0"/>
          <w:sz w:val="32"/>
          <w:szCs w:val="32"/>
        </w:rPr>
        <w:t>28.37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万元，占1.62 %；住房保障支出</w:t>
      </w:r>
      <w:r>
        <w:rPr>
          <w:rFonts w:ascii="仿宋" w:hAnsi="仿宋" w:eastAsia="仿宋" w:cs="仿宋_GB2312"/>
          <w:kern w:val="0"/>
          <w:sz w:val="32"/>
          <w:szCs w:val="32"/>
        </w:rPr>
        <w:t>48.63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万元，占 1.54%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2019年一般公共预算基本支出685.58万元，其中：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ascii="仿宋" w:hAnsi="仿宋" w:eastAsia="仿宋" w:cs="仿宋_GB2312"/>
          <w:b/>
          <w:kern w:val="0"/>
          <w:sz w:val="32"/>
          <w:szCs w:val="32"/>
        </w:rPr>
        <w:t>644.19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ascii="仿宋" w:hAnsi="仿宋" w:eastAsia="仿宋" w:cs="仿宋_GB2312"/>
          <w:b/>
          <w:bCs/>
          <w:kern w:val="0"/>
          <w:sz w:val="32"/>
          <w:szCs w:val="32"/>
        </w:rPr>
        <w:t>41.39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主要包括：公务交通补贴、通讯费。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我单位2019年没有使用政府性基金预算拨款安排的支出。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我单位2019年没有使用国有资本经营预算拨款安排的支出。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 年“三公”经费预算为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101.4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万元。比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年预算数增加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48.3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90.96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单位工作人员公务出国（境）的住宿费、差旅费、伙食补助费、杂费、培训费等支出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。预算数比2017年减少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0%，主要原因：我单位无因公出国（境）费预算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98.4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执法执勤用车更新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,比2018年增加42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万元，较上年增长233.33%，主要原因：执法执勤车辆更新；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38.4万元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燃料费、维修费、过路过桥费、保险费等支出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,比2018年增加6.2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万元，较上年上升19.25%，主要原因：业务增加，车辆运行成本增加。</w:t>
      </w:r>
    </w:p>
    <w:p>
      <w:pPr>
        <w:spacing w:line="560" w:lineRule="exact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单位按规定开支的各类公务接待支出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，比2018年预算数增加0.1万元，上升3.45%，主要原因刑事案件大型庭审用于干警及相关人员工作餐。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44.27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万元，主要保障机关机构正常运转及正常履职需要的办公费、水电费、差旅费、工会经费、福利费、其他交通费等支出，比2018年减少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2.31万元，减少4.96%，主要原因：压缩办公成本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672.92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政府采购货物预算542.92万元、政府采购工程预算130万元、政府采购服务预算0万元。</w:t>
      </w:r>
      <w:bookmarkStart w:id="0" w:name="_GoBack"/>
      <w:bookmarkEnd w:id="0"/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年,我部门对0个项目进行了预算绩效评价，涉及资金0万元。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年，我部门纳入预算绩效管理的支出总额为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宋体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2018年期末，固定资产总额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1090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万元，其中，房屋建筑物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7万元，车辆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万元。共有车辆15辆，其中：一般公务用车0辆，执法执勤车15辆；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年我单位按照区财政预算公开要求，将所属预算单位全部纳入预算公开范围。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一、财政拨款收入：是指区级财政当年拨付的资金。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八、公共安全支出：是指反映法院维护社会公共安全方面的支出。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附件：焦作市山阳区人民法院201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3434" w:leftChars="1700" w:firstLine="624" w:firstLineChars="20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F6C22"/>
    <w:multiLevelType w:val="singleLevel"/>
    <w:tmpl w:val="871F6C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DD26A9"/>
    <w:rsid w:val="0003689F"/>
    <w:rsid w:val="000C6136"/>
    <w:rsid w:val="00196372"/>
    <w:rsid w:val="001C7D1F"/>
    <w:rsid w:val="00237899"/>
    <w:rsid w:val="002A73CB"/>
    <w:rsid w:val="0042579A"/>
    <w:rsid w:val="00426AAA"/>
    <w:rsid w:val="00484D2F"/>
    <w:rsid w:val="004E2B56"/>
    <w:rsid w:val="00557613"/>
    <w:rsid w:val="005A5476"/>
    <w:rsid w:val="005B53F9"/>
    <w:rsid w:val="006B203A"/>
    <w:rsid w:val="006D761E"/>
    <w:rsid w:val="00740C31"/>
    <w:rsid w:val="00881790"/>
    <w:rsid w:val="00921F90"/>
    <w:rsid w:val="00A17EE2"/>
    <w:rsid w:val="00AE6B99"/>
    <w:rsid w:val="00B214DE"/>
    <w:rsid w:val="00BD1C94"/>
    <w:rsid w:val="00C44748"/>
    <w:rsid w:val="00CB03ED"/>
    <w:rsid w:val="00CB39DC"/>
    <w:rsid w:val="00CB7C06"/>
    <w:rsid w:val="00CC79F0"/>
    <w:rsid w:val="00E10695"/>
    <w:rsid w:val="00E56BE5"/>
    <w:rsid w:val="00E86A13"/>
    <w:rsid w:val="00EB7C91"/>
    <w:rsid w:val="00F5536B"/>
    <w:rsid w:val="028F57A4"/>
    <w:rsid w:val="07B27637"/>
    <w:rsid w:val="0BFC12C2"/>
    <w:rsid w:val="0E1E7638"/>
    <w:rsid w:val="0F61707D"/>
    <w:rsid w:val="113103BE"/>
    <w:rsid w:val="1272042A"/>
    <w:rsid w:val="14E074A9"/>
    <w:rsid w:val="1611034B"/>
    <w:rsid w:val="170A3FC4"/>
    <w:rsid w:val="17591265"/>
    <w:rsid w:val="18CC319A"/>
    <w:rsid w:val="1CD770BA"/>
    <w:rsid w:val="20770ABE"/>
    <w:rsid w:val="20DD26A9"/>
    <w:rsid w:val="262C0377"/>
    <w:rsid w:val="2D97621C"/>
    <w:rsid w:val="395648C9"/>
    <w:rsid w:val="39841043"/>
    <w:rsid w:val="3F7C19DA"/>
    <w:rsid w:val="40442497"/>
    <w:rsid w:val="4B7365EE"/>
    <w:rsid w:val="4BC00A7C"/>
    <w:rsid w:val="4D662DC1"/>
    <w:rsid w:val="52E0623F"/>
    <w:rsid w:val="537C3CF3"/>
    <w:rsid w:val="5966555F"/>
    <w:rsid w:val="5C682E60"/>
    <w:rsid w:val="5E76438D"/>
    <w:rsid w:val="5FB86371"/>
    <w:rsid w:val="5FC5627C"/>
    <w:rsid w:val="630D2858"/>
    <w:rsid w:val="641B3788"/>
    <w:rsid w:val="67545B2D"/>
    <w:rsid w:val="6E35646A"/>
    <w:rsid w:val="6EA86553"/>
    <w:rsid w:val="711E0931"/>
    <w:rsid w:val="77D22EF7"/>
    <w:rsid w:val="78093E65"/>
    <w:rsid w:val="78B634A2"/>
    <w:rsid w:val="7B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9</Pages>
  <Words>2776</Words>
  <Characters>444</Characters>
  <Lines>3</Lines>
  <Paragraphs>6</Paragraphs>
  <TotalTime>11</TotalTime>
  <ScaleCrop>false</ScaleCrop>
  <LinksUpToDate>false</LinksUpToDate>
  <CharactersWithSpaces>3214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ysk</cp:lastModifiedBy>
  <cp:lastPrinted>2018-11-01T01:55:00Z</cp:lastPrinted>
  <dcterms:modified xsi:type="dcterms:W3CDTF">2019-03-04T08:27:43Z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