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焦作市山阳区人民法院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机关后勤服务中心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201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9</w:t>
      </w:r>
      <w:r>
        <w:rPr>
          <w:rFonts w:hint="eastAsia" w:ascii="黑体" w:hAnsi="黑体" w:eastAsia="黑体" w:cs="黑体"/>
          <w:sz w:val="52"/>
          <w:szCs w:val="52"/>
        </w:rPr>
        <w:t>年度部门预算</w:t>
      </w:r>
    </w:p>
    <w:p>
      <w:pPr>
        <w:jc w:val="center"/>
        <w:rPr>
          <w:rFonts w:ascii="楷体" w:hAnsi="楷体" w:eastAsia="楷体" w:cs="楷体"/>
          <w:color w:val="FF0000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rPr>
          <w:rFonts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第二部门 201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1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九、国有资本经营预算收支情况表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十一、预算项目支出绩效目标表</w:t>
      </w:r>
    </w:p>
    <w:p>
      <w:pPr>
        <w:adjustRightInd w:val="0"/>
        <w:snapToGrid w:val="0"/>
        <w:spacing w:line="360" w:lineRule="auto"/>
        <w:ind w:firstLine="3744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adjustRightInd w:val="0"/>
        <w:snapToGrid w:val="0"/>
        <w:spacing w:line="360" w:lineRule="auto"/>
        <w:ind w:firstLine="624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主要职能</w:t>
      </w:r>
    </w:p>
    <w:p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机构设置情况</w:t>
      </w:r>
    </w:p>
    <w:p>
      <w:pPr>
        <w:adjustRightInd w:val="0"/>
        <w:snapToGrid w:val="0"/>
        <w:spacing w:line="360" w:lineRule="auto"/>
        <w:ind w:firstLine="780" w:firstLineChars="250"/>
        <w:outlineLvl w:val="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" w:hAnsi="仿宋" w:eastAsia="仿宋" w:cs="新宋体"/>
          <w:color w:val="444444"/>
          <w:sz w:val="32"/>
          <w:szCs w:val="32"/>
          <w:shd w:val="clear" w:color="auto" w:fill="FFFFFF"/>
        </w:rPr>
        <w:t>我单位属财政全供事业单位，无内设机构，单位共有编制24人。</w:t>
      </w:r>
    </w:p>
    <w:p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部门职责</w:t>
      </w:r>
    </w:p>
    <w:p>
      <w:pPr>
        <w:adjustRightInd w:val="0"/>
        <w:snapToGrid w:val="0"/>
        <w:spacing w:line="360" w:lineRule="auto"/>
        <w:ind w:firstLine="780" w:firstLineChars="250"/>
        <w:outlineLvl w:val="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为机关办公与职工生活提供后勤服务，承办机关委托事项。</w:t>
      </w:r>
    </w:p>
    <w:p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预算单位构成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宋体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我单位为山阳区人民法院的二级预算单位，本预算仅包括本单位预算。</w:t>
      </w:r>
    </w:p>
    <w:p>
      <w:pPr>
        <w:adjustRightInd w:val="0"/>
        <w:snapToGrid w:val="0"/>
        <w:spacing w:line="360" w:lineRule="auto"/>
        <w:ind w:left="404" w:leftChars="200"/>
        <w:outlineLvl w:val="0"/>
        <w:rPr>
          <w:rFonts w:ascii="仿宋_GB2312" w:hAnsi="宋体" w:eastAsia="仿宋_GB2312" w:cs="仿宋_GB2312"/>
          <w:color w:val="FF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50" w:lineRule="atLeast"/>
        <w:ind w:firstLine="3438" w:firstLineChars="1102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年度部门预算情况说明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</w:t>
      </w:r>
      <w:r>
        <w:rPr>
          <w:rFonts w:hint="eastAsia" w:ascii="Arial" w:hAnsi="Arial" w:eastAsia="仿宋_GB2312" w:cs="Arial"/>
          <w:sz w:val="32"/>
          <w:szCs w:val="32"/>
        </w:rPr>
        <w:t>239.49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Arial" w:hAnsi="Arial" w:eastAsia="仿宋_GB2312" w:cs="Arial"/>
          <w:sz w:val="32"/>
          <w:szCs w:val="32"/>
        </w:rPr>
        <w:t>239.49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17.52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7.89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%。主要原因：财政拨款</w:t>
      </w:r>
      <w:r>
        <w:rPr>
          <w:rFonts w:hint="eastAsia" w:ascii="仿宋" w:hAnsi="仿宋" w:eastAsia="仿宋" w:cs="Arial"/>
          <w:sz w:val="32"/>
          <w:szCs w:val="32"/>
        </w:rPr>
        <w:t>增加</w:t>
      </w:r>
      <w:r>
        <w:rPr>
          <w:rFonts w:hint="eastAsia" w:ascii="Arial" w:hAnsi="Arial" w:eastAsia="仿宋_GB2312" w:cs="Arial"/>
          <w:sz w:val="32"/>
          <w:szCs w:val="32"/>
        </w:rPr>
        <w:t xml:space="preserve">。  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年收入合计</w:t>
      </w:r>
      <w:r>
        <w:rPr>
          <w:rFonts w:hint="eastAsia" w:ascii="Arial" w:hAnsi="Arial" w:eastAsia="仿宋_GB2312" w:cs="Arial"/>
          <w:sz w:val="32"/>
          <w:szCs w:val="32"/>
        </w:rPr>
        <w:t>239.49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万元，其中：一般公共预算收入</w:t>
      </w:r>
      <w:r>
        <w:rPr>
          <w:rFonts w:hint="eastAsia" w:ascii="Arial" w:hAnsi="Arial" w:eastAsia="仿宋_GB2312" w:cs="Arial"/>
          <w:sz w:val="32"/>
          <w:szCs w:val="32"/>
        </w:rPr>
        <w:t>239.49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 政府性基金预算收入</w:t>
      </w:r>
      <w:r>
        <w:rPr>
          <w:rFonts w:hint="eastAsia" w:ascii="Arial" w:hAnsi="Arial" w:eastAsia="仿宋_GB2312" w:cs="Arial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万元；国有资本经营预算收入</w:t>
      </w:r>
      <w:r>
        <w:rPr>
          <w:rFonts w:hint="eastAsia" w:ascii="Arial" w:hAnsi="Arial" w:eastAsia="仿宋_GB2312" w:cs="Arial"/>
          <w:sz w:val="32"/>
          <w:szCs w:val="32"/>
        </w:rPr>
        <w:t>0万元；其他收入0万元。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三、支出预算总体情况说明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年支出合计</w:t>
      </w:r>
      <w:r>
        <w:rPr>
          <w:rFonts w:hint="eastAsia" w:ascii="Arial" w:hAnsi="Arial" w:eastAsia="仿宋_GB2312" w:cs="Arial"/>
          <w:sz w:val="32"/>
          <w:szCs w:val="32"/>
        </w:rPr>
        <w:t>239.49</w:t>
      </w:r>
      <w:r>
        <w:rPr>
          <w:rFonts w:hint="eastAsia" w:ascii="仿宋" w:hAnsi="仿宋" w:eastAsia="仿宋" w:cs="仿宋_GB2312"/>
          <w:sz w:val="32"/>
          <w:szCs w:val="32"/>
        </w:rPr>
        <w:t>万元，其中：基本支出</w:t>
      </w:r>
      <w:r>
        <w:rPr>
          <w:rFonts w:hint="eastAsia" w:ascii="仿宋" w:hAnsi="仿宋" w:eastAsia="仿宋" w:cs="Arial"/>
          <w:sz w:val="32"/>
          <w:szCs w:val="32"/>
        </w:rPr>
        <w:t>204.29</w:t>
      </w:r>
      <w:r>
        <w:rPr>
          <w:rFonts w:hint="eastAsia" w:ascii="仿宋" w:hAnsi="仿宋" w:eastAsia="仿宋" w:cs="仿宋_GB2312"/>
          <w:sz w:val="32"/>
          <w:szCs w:val="32"/>
        </w:rPr>
        <w:t>万元，占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85.3</w:t>
      </w:r>
      <w:r>
        <w:rPr>
          <w:rFonts w:hint="eastAsia" w:ascii="仿宋" w:hAnsi="仿宋" w:eastAsia="仿宋" w:cs="Arial"/>
          <w:sz w:val="32"/>
          <w:szCs w:val="32"/>
        </w:rPr>
        <w:t>%</w:t>
      </w:r>
      <w:r>
        <w:rPr>
          <w:rFonts w:hint="eastAsia" w:ascii="仿宋" w:hAnsi="仿宋" w:eastAsia="仿宋" w:cs="仿宋_GB2312"/>
          <w:sz w:val="32"/>
          <w:szCs w:val="32"/>
        </w:rPr>
        <w:t>；项目支出</w:t>
      </w:r>
      <w:r>
        <w:rPr>
          <w:rFonts w:hint="eastAsia" w:ascii="仿宋" w:hAnsi="仿宋" w:eastAsia="仿宋" w:cs="Arial"/>
          <w:sz w:val="32"/>
          <w:szCs w:val="32"/>
        </w:rPr>
        <w:t>35.2</w:t>
      </w:r>
      <w:r>
        <w:rPr>
          <w:rFonts w:hint="eastAsia" w:ascii="仿宋" w:hAnsi="仿宋" w:eastAsia="仿宋" w:cs="仿宋_GB2312"/>
          <w:sz w:val="32"/>
          <w:szCs w:val="32"/>
        </w:rPr>
        <w:t>万元，占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14.7</w:t>
      </w:r>
      <w:r>
        <w:rPr>
          <w:rFonts w:hint="eastAsia" w:ascii="仿宋" w:hAnsi="仿宋" w:eastAsia="仿宋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2018年一般公共预算收支预算</w:t>
      </w:r>
      <w:r>
        <w:rPr>
          <w:rFonts w:hint="eastAsia" w:ascii="Arial" w:hAnsi="Arial" w:eastAsia="仿宋_GB2312" w:cs="Arial"/>
          <w:sz w:val="32"/>
          <w:szCs w:val="32"/>
        </w:rPr>
        <w:t>239.49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万元。政府性基金收支预算</w:t>
      </w:r>
      <w:r>
        <w:rPr>
          <w:rFonts w:hint="eastAsia" w:ascii="Arial" w:hAnsi="Arial" w:eastAsia="仿宋_GB2312" w:cs="Arial"/>
          <w:sz w:val="32"/>
          <w:szCs w:val="32"/>
        </w:rPr>
        <w:t>239.49万元，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17.52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7.89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%，主要原因：财政拨款</w:t>
      </w:r>
      <w:r>
        <w:rPr>
          <w:rFonts w:hint="eastAsia" w:ascii="仿宋" w:hAnsi="仿宋" w:eastAsia="仿宋" w:cs="Arial"/>
          <w:sz w:val="32"/>
          <w:szCs w:val="32"/>
        </w:rPr>
        <w:t>增加</w:t>
      </w:r>
      <w:r>
        <w:rPr>
          <w:rFonts w:hint="eastAsia" w:ascii="Arial" w:hAnsi="Arial" w:eastAsia="仿宋_GB2312" w:cs="Arial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政府性基金收支增加</w:t>
      </w:r>
      <w:r>
        <w:rPr>
          <w:rFonts w:hint="eastAsia" w:ascii="Arial" w:hAnsi="Arial" w:eastAsia="仿宋_GB2312" w:cs="Arial"/>
          <w:sz w:val="32"/>
          <w:szCs w:val="32"/>
        </w:rPr>
        <w:t>0万元，增长0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Arial" w:hAnsi="Arial" w:eastAsia="仿宋_GB2312" w:cs="Arial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主要原因：</w:t>
      </w:r>
      <w:r>
        <w:rPr>
          <w:rFonts w:hint="eastAsia" w:ascii="Arial" w:hAnsi="Arial" w:eastAsia="仿宋_GB2312" w:cs="Arial"/>
          <w:sz w:val="32"/>
          <w:szCs w:val="32"/>
        </w:rPr>
        <w:t>我单位201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9</w:t>
      </w:r>
      <w:r>
        <w:rPr>
          <w:rFonts w:hint="eastAsia" w:ascii="Arial" w:hAnsi="Arial" w:eastAsia="仿宋_GB2312" w:cs="Arial"/>
          <w:sz w:val="32"/>
          <w:szCs w:val="32"/>
        </w:rPr>
        <w:t>年没有使用政府性基金预算拨款安排的支出。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五、一般公共预算支出预算情况说明</w:t>
      </w:r>
    </w:p>
    <w:p>
      <w:pPr>
        <w:widowControl/>
        <w:spacing w:line="620" w:lineRule="exact"/>
        <w:ind w:firstLine="624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年一般公共预算支出年初预算为</w:t>
      </w:r>
      <w:r>
        <w:rPr>
          <w:rFonts w:hint="eastAsia" w:ascii="Arial" w:hAnsi="Arial" w:eastAsia="仿宋_GB2312" w:cs="Arial"/>
          <w:sz w:val="32"/>
          <w:szCs w:val="32"/>
        </w:rPr>
        <w:t>239.49</w:t>
      </w:r>
      <w:r>
        <w:rPr>
          <w:rFonts w:hint="eastAsia" w:ascii="仿宋" w:hAnsi="仿宋" w:eastAsia="仿宋" w:cs="仿宋_GB2312"/>
          <w:sz w:val="32"/>
          <w:szCs w:val="32"/>
        </w:rPr>
        <w:t>万元。主要用于以下方面：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公共安全支出</w:t>
      </w:r>
      <w:r>
        <w:rPr>
          <w:rFonts w:hint="eastAsia" w:ascii="仿宋" w:hAnsi="仿宋" w:eastAsia="仿宋" w:cs="Arial"/>
          <w:sz w:val="32"/>
          <w:szCs w:val="32"/>
        </w:rPr>
        <w:t>187.47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万元，占78.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%；社会保障和就业支出27.61万元；占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11.53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%；医疗卫生与计划生育支出8.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万元，占3.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%；住房保障支出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15.42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6.44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%。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六、一般公共预算基本支出预算情况说明</w:t>
      </w:r>
    </w:p>
    <w:p>
      <w:pPr>
        <w:widowControl/>
        <w:ind w:firstLine="622"/>
        <w:jc w:val="left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</w:t>
      </w:r>
      <w:r>
        <w:rPr>
          <w:rFonts w:hint="eastAsia" w:ascii="Arial" w:hAnsi="Arial" w:eastAsia="仿宋_GB2312" w:cs="Arial"/>
          <w:sz w:val="32"/>
          <w:szCs w:val="32"/>
        </w:rPr>
        <w:t>239.49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201.41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公用经费2.88万元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，主要包括：公务交通补贴等。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七、政府性基金预算支出预算情况说明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我单位2019年没有使用政府性基金预算拨款安排的收支。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八、国有资本经营预算支出预算情况说明</w:t>
      </w:r>
    </w:p>
    <w:p>
      <w:pPr>
        <w:spacing w:line="560" w:lineRule="exact"/>
        <w:ind w:left="614" w:leftChars="304" w:firstLine="0" w:firstLineChars="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我单位2019年没有使用国有资本经营预算拨款安排的支出。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九、“三公”经费支出预算情况说明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年“三公”经费预算为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 比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具体支出情况如下：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单位工作人员公务出国（境）的住宿费、差旅费、伙食补助费、杂费、培训费等支出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。预算数比201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0%，主要原因：201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年我单位无因公出国（境）费预算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元。其中公务车辆购置费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公务车辆购置</w:t>
      </w:r>
      <w:r>
        <w:rPr>
          <w:rFonts w:hint="eastAsia" w:ascii="仿宋_GB2312" w:hAnsi="仿宋_GB2312" w:eastAsia="仿宋_GB2312" w:cs="仿宋_GB2312"/>
          <w:sz w:val="32"/>
          <w:szCs w:val="32"/>
        </w:rPr>
        <w:t>,比201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年增减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0万元，较上年增长0%，主要原因：0；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公务用车运行维护费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燃料费、维修费、过路过桥费、保险费等支出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,比201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年增减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0万元，较上年增长0%，主要原因：我单位无公务用车。</w:t>
      </w:r>
    </w:p>
    <w:p>
      <w:pPr>
        <w:spacing w:line="560" w:lineRule="exact"/>
        <w:ind w:firstLine="62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单位按规定开支的各类公务接待支出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，比201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年预算数增加0万元，增长0%，主要原因我单位无接待任务。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十、其他重要事项的情况说明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20" w:lineRule="exact"/>
        <w:ind w:firstLine="624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年机关运行经费支出预算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万元，主要交通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</w:rPr>
        <w:t>费等支出，比201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44.51%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，主要原因：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减少工会会费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年政府采购预算安排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政府采购货物预算00万元、政府采购工程预算0万元、政府采购服务预算0万元。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（三）关于预算绩效管理工作开展情况说明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年,我部门对0个项目进行了预算绩效评价，涉及资金0万元。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年，我部门纳入预算绩效管理的支出总额为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万元，其中人员经费支出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万元，公用经费支出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万元，支出项目共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万元，其中预算支出100万元及100万元以上项目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万元。 </w:t>
      </w:r>
    </w:p>
    <w:p>
      <w:pPr>
        <w:ind w:left="404" w:left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年期末，固定资产总额0万元，其中，房屋建筑物0万元，车辆0万元。共有车辆0辆，其中：一般公务用车0辆，执法执勤车0辆；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台，单位价值100万元以上专用设备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（五）关于预算部门构成说明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年我单位按照区财政预算公开要求，将所属预算单位全部纳入预算公开范围。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一、财政拨款收入：是指区级财政当年拨付的资金。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七、机关运行经费：是指为保障行政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八、其他：后勤服务是指为法院机关办公和职工生活提供后勤服务。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附件：焦作市山阳区人民法院机关后勤服务中心2018年度部门预算表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left="3434" w:leftChars="1700" w:firstLine="624" w:firstLineChars="200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154" w:right="1474" w:bottom="1757" w:left="1587" w:header="851" w:footer="992" w:gutter="0"/>
      <w:cols w:space="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1F6C22"/>
    <w:multiLevelType w:val="singleLevel"/>
    <w:tmpl w:val="871F6C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0DD26A9"/>
    <w:rsid w:val="000D6CCF"/>
    <w:rsid w:val="000E7D1A"/>
    <w:rsid w:val="00297EFA"/>
    <w:rsid w:val="0058608C"/>
    <w:rsid w:val="006C0545"/>
    <w:rsid w:val="006C4119"/>
    <w:rsid w:val="0072118C"/>
    <w:rsid w:val="0077357C"/>
    <w:rsid w:val="0085368B"/>
    <w:rsid w:val="00A055AE"/>
    <w:rsid w:val="00A975C9"/>
    <w:rsid w:val="00AA414F"/>
    <w:rsid w:val="00BD6C73"/>
    <w:rsid w:val="00BE49C3"/>
    <w:rsid w:val="00D13C85"/>
    <w:rsid w:val="00E63E7D"/>
    <w:rsid w:val="00F0526E"/>
    <w:rsid w:val="00F31EEF"/>
    <w:rsid w:val="00F356C4"/>
    <w:rsid w:val="028F57A4"/>
    <w:rsid w:val="07B27637"/>
    <w:rsid w:val="0BFC12C2"/>
    <w:rsid w:val="0F61707D"/>
    <w:rsid w:val="113103BE"/>
    <w:rsid w:val="1272042A"/>
    <w:rsid w:val="13657E08"/>
    <w:rsid w:val="14E074A9"/>
    <w:rsid w:val="170A3FC4"/>
    <w:rsid w:val="17591265"/>
    <w:rsid w:val="18CC319A"/>
    <w:rsid w:val="20770ABE"/>
    <w:rsid w:val="20DD26A9"/>
    <w:rsid w:val="262C0377"/>
    <w:rsid w:val="295C1839"/>
    <w:rsid w:val="2D97621C"/>
    <w:rsid w:val="37FD2931"/>
    <w:rsid w:val="395648C9"/>
    <w:rsid w:val="39841043"/>
    <w:rsid w:val="3F7C19DA"/>
    <w:rsid w:val="40442497"/>
    <w:rsid w:val="424F7018"/>
    <w:rsid w:val="4A012D0C"/>
    <w:rsid w:val="4BC00A7C"/>
    <w:rsid w:val="4D662DC1"/>
    <w:rsid w:val="52E0623F"/>
    <w:rsid w:val="537C3CF3"/>
    <w:rsid w:val="5878192D"/>
    <w:rsid w:val="5966555F"/>
    <w:rsid w:val="5C682E60"/>
    <w:rsid w:val="5E76438D"/>
    <w:rsid w:val="5FB86371"/>
    <w:rsid w:val="5FC5627C"/>
    <w:rsid w:val="641B3788"/>
    <w:rsid w:val="67545B2D"/>
    <w:rsid w:val="6E35646A"/>
    <w:rsid w:val="6EA86553"/>
    <w:rsid w:val="711E0931"/>
    <w:rsid w:val="78093E65"/>
    <w:rsid w:val="7BE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8</Pages>
  <Words>425</Words>
  <Characters>2424</Characters>
  <Lines>20</Lines>
  <Paragraphs>5</Paragraphs>
  <TotalTime>6</TotalTime>
  <ScaleCrop>false</ScaleCrop>
  <LinksUpToDate>false</LinksUpToDate>
  <CharactersWithSpaces>2844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2018-01-04T09:29:00Z</dcterms:created>
  <dc:creator>Administrator</dc:creator>
  <cp:lastModifiedBy>ysk</cp:lastModifiedBy>
  <cp:lastPrinted>2018-11-01T01:55:00Z</cp:lastPrinted>
  <dcterms:modified xsi:type="dcterms:W3CDTF">2019-03-04T08:31:01Z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